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3C22" w:rsidRDefault="009C5143" w:rsidP="009C5143">
      <w:pPr>
        <w:spacing w:beforeLines="50" w:afterLines="50" w:line="360" w:lineRule="auto"/>
        <w:jc w:val="center"/>
        <w:rPr>
          <w:rFonts w:ascii="仿宋" w:eastAsia="仿宋" w:hAnsi="仿宋" w:cs="仿宋"/>
          <w:bCs/>
          <w:sz w:val="36"/>
        </w:rPr>
      </w:pPr>
      <w:r>
        <w:rPr>
          <w:rFonts w:ascii="仿宋" w:eastAsia="仿宋" w:hAnsi="仿宋" w:cs="仿宋" w:hint="eastAsia"/>
          <w:bCs/>
          <w:sz w:val="36"/>
        </w:rPr>
        <w:t>海南省</w:t>
      </w:r>
      <w:r w:rsidR="00BC4057">
        <w:rPr>
          <w:rFonts w:ascii="仿宋" w:eastAsia="仿宋" w:hAnsi="仿宋" w:cs="仿宋" w:hint="eastAsia"/>
          <w:bCs/>
          <w:sz w:val="36"/>
        </w:rPr>
        <w:t>2017</w:t>
      </w:r>
      <w:r>
        <w:rPr>
          <w:rFonts w:ascii="仿宋" w:eastAsia="仿宋" w:hAnsi="仿宋" w:cs="仿宋" w:hint="eastAsia"/>
          <w:bCs/>
          <w:sz w:val="36"/>
        </w:rPr>
        <w:t>年市县</w:t>
      </w:r>
      <w:r w:rsidR="00BC4057">
        <w:rPr>
          <w:rFonts w:ascii="仿宋" w:eastAsia="仿宋" w:hAnsi="仿宋" w:cs="仿宋" w:hint="eastAsia"/>
          <w:bCs/>
          <w:sz w:val="36"/>
        </w:rPr>
        <w:t>政务公开第三方评估报告</w:t>
      </w:r>
    </w:p>
    <w:p w:rsidR="00493C22" w:rsidRDefault="00BC4057">
      <w:pPr>
        <w:ind w:firstLineChars="200" w:firstLine="560"/>
        <w:jc w:val="left"/>
        <w:rPr>
          <w:rFonts w:ascii="仿宋" w:eastAsia="仿宋" w:hAnsi="仿宋" w:cs="仿宋"/>
          <w:bCs/>
          <w:sz w:val="28"/>
          <w:szCs w:val="28"/>
        </w:rPr>
      </w:pPr>
      <w:r>
        <w:rPr>
          <w:rFonts w:ascii="仿宋" w:eastAsia="仿宋" w:hAnsi="仿宋" w:cs="仿宋" w:hint="eastAsia"/>
          <w:bCs/>
          <w:sz w:val="28"/>
          <w:szCs w:val="28"/>
        </w:rPr>
        <w:t>受海南省人民政府办公厅委托，海南大学法学院法治政府建设工程项目组，通过查阅评估对象网站及验证等方式，于2017年11月10日至2017年12月31日对海南省政府</w:t>
      </w:r>
      <w:r>
        <w:rPr>
          <w:rFonts w:ascii="仿宋" w:eastAsia="仿宋" w:hAnsi="仿宋" w:cs="仿宋"/>
          <w:bCs/>
          <w:sz w:val="28"/>
          <w:szCs w:val="28"/>
        </w:rPr>
        <w:t>22</w:t>
      </w:r>
      <w:r>
        <w:rPr>
          <w:rFonts w:ascii="仿宋" w:eastAsia="仿宋" w:hAnsi="仿宋" w:cs="仿宋" w:hint="eastAsia"/>
          <w:bCs/>
          <w:sz w:val="28"/>
          <w:szCs w:val="28"/>
        </w:rPr>
        <w:t>个市（县）2017年政务公开工作进行了第三方评估。现将总体情况报告如下。</w:t>
      </w:r>
    </w:p>
    <w:p w:rsidR="00493C22" w:rsidRDefault="00BC4057">
      <w:pPr>
        <w:rPr>
          <w:rFonts w:ascii="仿宋" w:eastAsia="仿宋" w:hAnsi="仿宋" w:cs="仿宋"/>
          <w:b/>
          <w:sz w:val="28"/>
          <w:szCs w:val="28"/>
        </w:rPr>
      </w:pPr>
      <w:r>
        <w:rPr>
          <w:rFonts w:ascii="仿宋" w:eastAsia="仿宋" w:hAnsi="仿宋" w:cs="仿宋" w:hint="eastAsia"/>
          <w:b/>
          <w:sz w:val="28"/>
          <w:szCs w:val="28"/>
        </w:rPr>
        <w:t>第一部分  评估总体情况</w:t>
      </w:r>
    </w:p>
    <w:p w:rsidR="00493C22" w:rsidRDefault="00BC4057">
      <w:pPr>
        <w:pStyle w:val="a8"/>
        <w:numPr>
          <w:ilvl w:val="0"/>
          <w:numId w:val="1"/>
        </w:numPr>
        <w:ind w:firstLineChars="0"/>
        <w:rPr>
          <w:rFonts w:ascii="仿宋" w:eastAsia="仿宋" w:hAnsi="仿宋" w:cs="仿宋"/>
          <w:b/>
          <w:color w:val="000000"/>
          <w:kern w:val="0"/>
          <w:sz w:val="28"/>
          <w:szCs w:val="28"/>
        </w:rPr>
      </w:pPr>
      <w:r>
        <w:rPr>
          <w:rFonts w:ascii="仿宋" w:eastAsia="仿宋" w:hAnsi="仿宋" w:cs="仿宋" w:hint="eastAsia"/>
          <w:b/>
          <w:color w:val="000000"/>
          <w:kern w:val="0"/>
          <w:sz w:val="28"/>
          <w:szCs w:val="28"/>
        </w:rPr>
        <w:t>主动公开方面</w:t>
      </w:r>
    </w:p>
    <w:p w:rsidR="00493C22" w:rsidRDefault="00BC4057">
      <w:pPr>
        <w:pStyle w:val="a8"/>
        <w:numPr>
          <w:ilvl w:val="0"/>
          <w:numId w:val="2"/>
        </w:numPr>
        <w:ind w:firstLineChars="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政府基本信息公开</w:t>
      </w:r>
    </w:p>
    <w:p w:rsidR="00493C22" w:rsidRDefault="00BC4057">
      <w:pPr>
        <w:pStyle w:val="a8"/>
        <w:numPr>
          <w:ilvl w:val="0"/>
          <w:numId w:val="3"/>
        </w:numPr>
        <w:ind w:firstLineChars="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政府年报公布情况、政府信息公开指南与目录、重点领域信息公开方面的相关信息公开情况，各市县均符合要求。</w:t>
      </w:r>
    </w:p>
    <w:p w:rsidR="00493C22" w:rsidRDefault="00BC4057">
      <w:pPr>
        <w:pStyle w:val="a8"/>
        <w:numPr>
          <w:ilvl w:val="0"/>
          <w:numId w:val="3"/>
        </w:numPr>
        <w:ind w:firstLineChars="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必须公开的政府基本信息方面，95.45%的评估对象符合要求，但保亭县存在要素缺失。</w:t>
      </w:r>
    </w:p>
    <w:p w:rsidR="00493C22" w:rsidRDefault="00BC4057">
      <w:pPr>
        <w:pStyle w:val="a8"/>
        <w:numPr>
          <w:ilvl w:val="0"/>
          <w:numId w:val="3"/>
        </w:numPr>
        <w:ind w:firstLineChars="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公开行政事业性收费的项目、依据、标准公开方面，95.45%的评估对象符合要求，但白沙县存在要素缺失。</w:t>
      </w:r>
    </w:p>
    <w:p w:rsidR="00493C22" w:rsidRDefault="00BC4057">
      <w:pPr>
        <w:pStyle w:val="a8"/>
        <w:numPr>
          <w:ilvl w:val="0"/>
          <w:numId w:val="3"/>
        </w:numPr>
        <w:ind w:firstLineChars="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社会公益事业建设公开方面，68.18%的评估对象符合要求，白沙县、保亭县、昌江县、乐东县、临高县、海口市龙华区、海口市秀英区7个地区存在要素缺失。</w:t>
      </w:r>
    </w:p>
    <w:p w:rsidR="00493C22" w:rsidRDefault="00BC4057">
      <w:pPr>
        <w:pStyle w:val="a8"/>
        <w:numPr>
          <w:ilvl w:val="0"/>
          <w:numId w:val="2"/>
        </w:numPr>
        <w:ind w:firstLineChars="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政府和社会资本合作（PPP）项目信息公开</w:t>
      </w:r>
    </w:p>
    <w:p w:rsidR="00493C22" w:rsidRDefault="00BC4057">
      <w:pPr>
        <w:pStyle w:val="a8"/>
        <w:numPr>
          <w:ilvl w:val="0"/>
          <w:numId w:val="4"/>
        </w:numPr>
        <w:ind w:firstLineChars="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PPP相关法律法规、政策文件、专家库等信息公开方面，只有50%的评估对象公开了相关信息，白沙县、澄迈县、东方市、乐东县、临高县、海口市龙华区、海口市美兰区、琼海市、琼山县、屯昌县、万宁市11个市县都在不同程度缺</w:t>
      </w:r>
      <w:r>
        <w:rPr>
          <w:rFonts w:ascii="仿宋" w:eastAsia="仿宋" w:hAnsi="仿宋" w:cs="仿宋" w:hint="eastAsia"/>
          <w:bCs/>
          <w:color w:val="000000"/>
          <w:kern w:val="0"/>
          <w:sz w:val="28"/>
          <w:szCs w:val="28"/>
        </w:rPr>
        <w:lastRenderedPageBreak/>
        <w:t>失了相关信息。</w:t>
      </w:r>
    </w:p>
    <w:p w:rsidR="00493C22" w:rsidRDefault="00BC4057">
      <w:pPr>
        <w:pStyle w:val="a8"/>
        <w:numPr>
          <w:ilvl w:val="0"/>
          <w:numId w:val="4"/>
        </w:numPr>
        <w:ind w:firstLineChars="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社会资本参与方式、项目合同和回报机制信息公开方面，72.72%的评估对象符合要求，保亭县、昌江县、澄迈县、海口市、海口市琼山区、五指山市6个市县对于社会资本参与方式、项目合同和回报机制的信息公开不完全。</w:t>
      </w:r>
    </w:p>
    <w:p w:rsidR="00493C22" w:rsidRDefault="00BC4057">
      <w:pPr>
        <w:pStyle w:val="a8"/>
        <w:numPr>
          <w:ilvl w:val="0"/>
          <w:numId w:val="2"/>
        </w:numPr>
        <w:ind w:firstLineChars="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“放管服”改革信息公开</w:t>
      </w:r>
    </w:p>
    <w:p w:rsidR="00493C22" w:rsidRDefault="00BC4057">
      <w:pPr>
        <w:ind w:left="420" w:firstLine="30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及时公布本级随机抽查事项清单和公开企业注册登记、项目投资等与群众生活密切相关信息方面，各评估对象都符合要求。</w:t>
      </w:r>
    </w:p>
    <w:p w:rsidR="00493C22" w:rsidRDefault="00BC4057">
      <w:pPr>
        <w:pStyle w:val="a8"/>
        <w:numPr>
          <w:ilvl w:val="0"/>
          <w:numId w:val="2"/>
        </w:numPr>
        <w:ind w:firstLineChars="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财税体制改革信息公开</w:t>
      </w:r>
    </w:p>
    <w:p w:rsidR="00493C22" w:rsidRDefault="00BC4057">
      <w:pPr>
        <w:pStyle w:val="a8"/>
        <w:numPr>
          <w:ilvl w:val="0"/>
          <w:numId w:val="5"/>
        </w:numPr>
        <w:ind w:firstLineChars="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公开本地区政府债务情况方面，77.27%的评估对象符合要求，东方市、海口市、乐东县、海口市琼山区、琼中县5个市县对于公开本地区政府债务情况落实不到位。</w:t>
      </w:r>
    </w:p>
    <w:p w:rsidR="00493C22" w:rsidRDefault="00BC4057">
      <w:pPr>
        <w:pStyle w:val="a8"/>
        <w:numPr>
          <w:ilvl w:val="0"/>
          <w:numId w:val="5"/>
        </w:numPr>
        <w:ind w:firstLineChars="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公开政府预决算、部门决算，并对公开内容进行分类分级方面，各评估对象都符合要求。</w:t>
      </w:r>
    </w:p>
    <w:p w:rsidR="00493C22" w:rsidRDefault="00BC4057">
      <w:pPr>
        <w:pStyle w:val="a8"/>
        <w:numPr>
          <w:ilvl w:val="0"/>
          <w:numId w:val="2"/>
        </w:numPr>
        <w:ind w:firstLineChars="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扶贫脱贫信息</w:t>
      </w:r>
    </w:p>
    <w:p w:rsidR="00493C22" w:rsidRDefault="00BC4057">
      <w:pPr>
        <w:ind w:left="420" w:firstLine="30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公开扶贫政策、对象、措施和贫困县公开涉农资金来源、用途等方面，各评估对象都符合要求。</w:t>
      </w:r>
    </w:p>
    <w:p w:rsidR="00493C22" w:rsidRDefault="00BC4057">
      <w:pPr>
        <w:pStyle w:val="a8"/>
        <w:numPr>
          <w:ilvl w:val="0"/>
          <w:numId w:val="2"/>
        </w:numPr>
        <w:ind w:firstLineChars="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卫生领域信息公开</w:t>
      </w:r>
    </w:p>
    <w:p w:rsidR="00493C22" w:rsidRDefault="00BC4057">
      <w:pPr>
        <w:pStyle w:val="a8"/>
        <w:numPr>
          <w:ilvl w:val="0"/>
          <w:numId w:val="6"/>
        </w:numPr>
        <w:ind w:firstLineChars="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医疗机构院务公开和改善医疗服务行动计划落实情况公开方面，72.27%的评估对象符合要求，保亭县、乐东县、海口市龙华区、琼中县、海口市、万宁市5个市县在这一方面存在不足。</w:t>
      </w:r>
    </w:p>
    <w:p w:rsidR="00493C22" w:rsidRDefault="00BC4057">
      <w:pPr>
        <w:pStyle w:val="a8"/>
        <w:numPr>
          <w:ilvl w:val="0"/>
          <w:numId w:val="6"/>
        </w:numPr>
        <w:ind w:firstLineChars="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市县为单位指导辖区内医疗机构公开常规医疗服务价格、公开常用药品和主要医用耗材信息方面，仅有50%的评估对象符合要求，白沙县、保亭县、定安县、乐东县、海口市龙华区、海口市琼山区、琼中县、三亚市、屯昌县、万宁县、文昌市、五指山市11个市县存在未公开常规医疗服务价格、常用药品和主要医用耗材信息的情况。</w:t>
      </w:r>
    </w:p>
    <w:p w:rsidR="00493C22" w:rsidRDefault="00BC4057">
      <w:pPr>
        <w:pStyle w:val="a8"/>
        <w:numPr>
          <w:ilvl w:val="0"/>
          <w:numId w:val="6"/>
        </w:numPr>
        <w:ind w:firstLineChars="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医德医风违规违纪问题处理结果公开方面，仅有36.4%的评估对象符合要求，三亚市、白沙县、保亭县等14个市县关于医德医风违规违纪问题处理结果的公开存在较大的信息空白。</w:t>
      </w:r>
    </w:p>
    <w:p w:rsidR="00493C22" w:rsidRDefault="00BC4057">
      <w:pPr>
        <w:pStyle w:val="a8"/>
        <w:numPr>
          <w:ilvl w:val="0"/>
          <w:numId w:val="2"/>
        </w:numPr>
        <w:ind w:firstLineChars="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教育信息公开</w:t>
      </w:r>
    </w:p>
    <w:p w:rsidR="00493C22" w:rsidRDefault="00BC4057">
      <w:pPr>
        <w:pStyle w:val="a8"/>
        <w:numPr>
          <w:ilvl w:val="0"/>
          <w:numId w:val="7"/>
        </w:numPr>
        <w:ind w:firstLineChars="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设置教育监管信息专栏方面，仅有陵水县、琼中县两个市县未设置教育监管信息专栏，90.9%的评估对象都设置了教育监管信息专栏。</w:t>
      </w:r>
    </w:p>
    <w:p w:rsidR="00493C22" w:rsidRDefault="00BC4057">
      <w:pPr>
        <w:pStyle w:val="a8"/>
        <w:numPr>
          <w:ilvl w:val="0"/>
          <w:numId w:val="7"/>
        </w:numPr>
        <w:ind w:firstLineChars="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公开义务教育招生入学政策情况方面，77.27%的评估对象符合要求，未公开的市县有定安县、乐东县、陵水县、万宁市、 五指山市5个，占评估对象总数的22.73%。</w:t>
      </w:r>
    </w:p>
    <w:p w:rsidR="00493C22" w:rsidRDefault="00BC4057">
      <w:pPr>
        <w:pStyle w:val="a8"/>
        <w:numPr>
          <w:ilvl w:val="0"/>
          <w:numId w:val="7"/>
        </w:numPr>
        <w:ind w:firstLineChars="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公开教育督导评估检测报告方面，77.27%的评估对象符合要求，未公开的市县有白沙县、保亭县、东方市、万宁市、五指山市5个，占评估对象总数的22.73%。</w:t>
      </w:r>
    </w:p>
    <w:p w:rsidR="00493C22" w:rsidRDefault="00BC4057">
      <w:pPr>
        <w:pStyle w:val="a8"/>
        <w:numPr>
          <w:ilvl w:val="0"/>
          <w:numId w:val="2"/>
        </w:numPr>
        <w:ind w:firstLineChars="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审计信息公开</w:t>
      </w:r>
    </w:p>
    <w:p w:rsidR="00493C22" w:rsidRDefault="00BC4057">
      <w:pPr>
        <w:ind w:left="420" w:firstLine="30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公开审计结果报告方面，各评估对象都符合要求。</w:t>
      </w:r>
    </w:p>
    <w:p w:rsidR="00493C22" w:rsidRDefault="00BC4057">
      <w:pPr>
        <w:pStyle w:val="a8"/>
        <w:numPr>
          <w:ilvl w:val="0"/>
          <w:numId w:val="2"/>
        </w:numPr>
        <w:ind w:firstLineChars="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减税、降费、降低要素成本信息公开</w:t>
      </w:r>
    </w:p>
    <w:p w:rsidR="00493C22" w:rsidRDefault="00BC4057">
      <w:pPr>
        <w:ind w:left="420" w:firstLine="30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集中发布利用新媒体主动推送减税措施、集中展示、更新行政事业性收费和政府性基金目录清单、公布阶段性降低保险费率方面、公布参加社会保险情况和社保基金运行情况，各评估对象都符合要求。</w:t>
      </w:r>
    </w:p>
    <w:p w:rsidR="00493C22" w:rsidRDefault="00BC4057">
      <w:pPr>
        <w:pStyle w:val="a8"/>
        <w:numPr>
          <w:ilvl w:val="0"/>
          <w:numId w:val="2"/>
        </w:numPr>
        <w:ind w:firstLineChars="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重点建设项目和公共资源配置信息公开</w:t>
      </w:r>
    </w:p>
    <w:p w:rsidR="00493C22" w:rsidRDefault="00BC4057">
      <w:pPr>
        <w:ind w:left="420" w:firstLine="30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公开十二个重点产业、“五</w:t>
      </w:r>
      <w:r>
        <w:rPr>
          <w:rFonts w:ascii="仿宋" w:eastAsia="仿宋" w:hAnsi="仿宋" w:cs="仿宋"/>
          <w:bCs/>
          <w:color w:val="000000"/>
          <w:kern w:val="0"/>
          <w:sz w:val="28"/>
          <w:szCs w:val="28"/>
        </w:rPr>
        <w:t>网</w:t>
      </w:r>
      <w:r>
        <w:rPr>
          <w:rFonts w:ascii="仿宋" w:eastAsia="仿宋" w:hAnsi="仿宋" w:cs="仿宋" w:hint="eastAsia"/>
          <w:bCs/>
          <w:color w:val="000000"/>
          <w:kern w:val="0"/>
          <w:sz w:val="28"/>
          <w:szCs w:val="28"/>
        </w:rPr>
        <w:t>”基础</w:t>
      </w:r>
      <w:r>
        <w:rPr>
          <w:rFonts w:ascii="仿宋" w:eastAsia="仿宋" w:hAnsi="仿宋" w:cs="仿宋"/>
          <w:bCs/>
          <w:color w:val="000000"/>
          <w:kern w:val="0"/>
          <w:sz w:val="28"/>
          <w:szCs w:val="28"/>
        </w:rPr>
        <w:t>设施</w:t>
      </w:r>
      <w:r>
        <w:rPr>
          <w:rFonts w:ascii="仿宋" w:eastAsia="仿宋" w:hAnsi="仿宋" w:cs="仿宋" w:hint="eastAsia"/>
          <w:bCs/>
          <w:color w:val="000000"/>
          <w:kern w:val="0"/>
          <w:sz w:val="28"/>
          <w:szCs w:val="28"/>
        </w:rPr>
        <w:t>、特色</w:t>
      </w:r>
      <w:r>
        <w:rPr>
          <w:rFonts w:ascii="仿宋" w:eastAsia="仿宋" w:hAnsi="仿宋" w:cs="仿宋"/>
          <w:bCs/>
          <w:color w:val="000000"/>
          <w:kern w:val="0"/>
          <w:sz w:val="28"/>
          <w:szCs w:val="28"/>
        </w:rPr>
        <w:t>小镇</w:t>
      </w:r>
      <w:r>
        <w:rPr>
          <w:rFonts w:ascii="仿宋" w:eastAsia="仿宋" w:hAnsi="仿宋" w:cs="仿宋" w:hint="eastAsia"/>
          <w:bCs/>
          <w:color w:val="000000"/>
          <w:kern w:val="0"/>
          <w:sz w:val="28"/>
          <w:szCs w:val="28"/>
        </w:rPr>
        <w:t>、社会</w:t>
      </w:r>
      <w:r>
        <w:rPr>
          <w:rFonts w:ascii="仿宋" w:eastAsia="仿宋" w:hAnsi="仿宋" w:cs="仿宋"/>
          <w:bCs/>
          <w:color w:val="000000"/>
          <w:kern w:val="0"/>
          <w:sz w:val="28"/>
          <w:szCs w:val="28"/>
        </w:rPr>
        <w:t>民生工程</w:t>
      </w:r>
      <w:r>
        <w:rPr>
          <w:rFonts w:ascii="仿宋" w:eastAsia="仿宋" w:hAnsi="仿宋" w:cs="仿宋" w:hint="eastAsia"/>
          <w:bCs/>
          <w:color w:val="000000"/>
          <w:kern w:val="0"/>
          <w:sz w:val="28"/>
          <w:szCs w:val="28"/>
        </w:rPr>
        <w:t>等</w:t>
      </w:r>
      <w:r>
        <w:rPr>
          <w:rFonts w:ascii="仿宋" w:eastAsia="仿宋" w:hAnsi="仿宋" w:cs="仿宋"/>
          <w:bCs/>
          <w:color w:val="000000"/>
          <w:kern w:val="0"/>
          <w:sz w:val="28"/>
          <w:szCs w:val="28"/>
        </w:rPr>
        <w:t>重点项目建设投资完成</w:t>
      </w:r>
      <w:r>
        <w:rPr>
          <w:rFonts w:ascii="仿宋" w:eastAsia="仿宋" w:hAnsi="仿宋" w:cs="仿宋" w:hint="eastAsia"/>
          <w:bCs/>
          <w:color w:val="000000"/>
          <w:kern w:val="0"/>
          <w:sz w:val="28"/>
          <w:szCs w:val="28"/>
        </w:rPr>
        <w:t>、工程</w:t>
      </w:r>
      <w:r>
        <w:rPr>
          <w:rFonts w:ascii="仿宋" w:eastAsia="仿宋" w:hAnsi="仿宋" w:cs="仿宋"/>
          <w:bCs/>
          <w:color w:val="000000"/>
          <w:kern w:val="0"/>
          <w:sz w:val="28"/>
          <w:szCs w:val="28"/>
        </w:rPr>
        <w:t>进展情况</w:t>
      </w:r>
      <w:r>
        <w:rPr>
          <w:rFonts w:ascii="仿宋" w:eastAsia="仿宋" w:hAnsi="仿宋" w:cs="仿宋" w:hint="eastAsia"/>
          <w:bCs/>
          <w:color w:val="000000"/>
          <w:kern w:val="0"/>
          <w:sz w:val="28"/>
          <w:szCs w:val="28"/>
        </w:rPr>
        <w:t>等信息方面，各评估对象都符合要求。</w:t>
      </w:r>
    </w:p>
    <w:p w:rsidR="00493C22" w:rsidRDefault="00BC4057">
      <w:pPr>
        <w:pStyle w:val="a8"/>
        <w:numPr>
          <w:ilvl w:val="0"/>
          <w:numId w:val="2"/>
        </w:numPr>
        <w:ind w:firstLineChars="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权责清单公开</w:t>
      </w:r>
    </w:p>
    <w:p w:rsidR="00493C22" w:rsidRDefault="00BC4057">
      <w:pPr>
        <w:ind w:left="420" w:firstLine="30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权责清单公开方面，各评估对象都符合要求。</w:t>
      </w:r>
    </w:p>
    <w:p w:rsidR="00493C22" w:rsidRDefault="00BC4057">
      <w:pPr>
        <w:pStyle w:val="a8"/>
        <w:numPr>
          <w:ilvl w:val="0"/>
          <w:numId w:val="2"/>
        </w:numPr>
        <w:ind w:firstLineChars="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国资国企信息公开</w:t>
      </w:r>
    </w:p>
    <w:p w:rsidR="00493C22" w:rsidRDefault="00BC4057">
      <w:pPr>
        <w:ind w:left="420" w:firstLine="30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国资国企信息公开方面，海口市、三亚市、儋州市三个评估对象都符合要求。</w:t>
      </w:r>
    </w:p>
    <w:p w:rsidR="00493C22" w:rsidRDefault="00BC4057">
      <w:pPr>
        <w:pStyle w:val="a8"/>
        <w:numPr>
          <w:ilvl w:val="0"/>
          <w:numId w:val="2"/>
        </w:numPr>
        <w:ind w:firstLineChars="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农业供给侧结构性改革信息公开</w:t>
      </w:r>
    </w:p>
    <w:p w:rsidR="00493C22" w:rsidRDefault="00BC4057">
      <w:pPr>
        <w:pStyle w:val="a8"/>
        <w:numPr>
          <w:ilvl w:val="0"/>
          <w:numId w:val="8"/>
        </w:numPr>
        <w:ind w:firstLineChars="0"/>
        <w:rPr>
          <w:rFonts w:ascii="仿宋" w:eastAsia="仿宋" w:hAnsi="仿宋" w:cs="仿宋"/>
          <w:bCs/>
          <w:color w:val="000000"/>
          <w:kern w:val="0"/>
          <w:sz w:val="28"/>
          <w:szCs w:val="28"/>
        </w:rPr>
      </w:pPr>
      <w:r>
        <w:rPr>
          <w:rFonts w:ascii="仿宋" w:eastAsia="仿宋" w:hAnsi="仿宋" w:cs="仿宋"/>
          <w:bCs/>
          <w:color w:val="000000"/>
          <w:kern w:val="0"/>
          <w:sz w:val="28"/>
          <w:szCs w:val="28"/>
        </w:rPr>
        <w:t>公开</w:t>
      </w:r>
      <w:bookmarkStart w:id="0" w:name="_Hlk509053689"/>
      <w:r>
        <w:rPr>
          <w:rFonts w:ascii="仿宋" w:eastAsia="仿宋" w:hAnsi="仿宋" w:cs="仿宋" w:hint="eastAsia"/>
          <w:bCs/>
          <w:color w:val="000000"/>
          <w:kern w:val="0"/>
          <w:sz w:val="28"/>
          <w:szCs w:val="28"/>
        </w:rPr>
        <w:t>冬</w:t>
      </w:r>
      <w:r>
        <w:rPr>
          <w:rFonts w:ascii="仿宋" w:eastAsia="仿宋" w:hAnsi="仿宋" w:cs="仿宋"/>
          <w:bCs/>
          <w:color w:val="000000"/>
          <w:kern w:val="0"/>
          <w:sz w:val="28"/>
          <w:szCs w:val="28"/>
        </w:rPr>
        <w:t>季瓜</w:t>
      </w:r>
      <w:r>
        <w:rPr>
          <w:rFonts w:ascii="仿宋" w:eastAsia="仿宋" w:hAnsi="仿宋" w:cs="仿宋" w:hint="eastAsia"/>
          <w:bCs/>
          <w:color w:val="000000"/>
          <w:kern w:val="0"/>
          <w:sz w:val="28"/>
          <w:szCs w:val="28"/>
        </w:rPr>
        <w:t>菜、常</w:t>
      </w:r>
      <w:r>
        <w:rPr>
          <w:rFonts w:ascii="仿宋" w:eastAsia="仿宋" w:hAnsi="仿宋" w:cs="仿宋"/>
          <w:bCs/>
          <w:color w:val="000000"/>
          <w:kern w:val="0"/>
          <w:sz w:val="28"/>
          <w:szCs w:val="28"/>
        </w:rPr>
        <w:t>年蔬菜田头价格信息</w:t>
      </w:r>
      <w:bookmarkEnd w:id="0"/>
      <w:r>
        <w:rPr>
          <w:rFonts w:ascii="仿宋" w:eastAsia="仿宋" w:hAnsi="仿宋" w:cs="仿宋" w:hint="eastAsia"/>
          <w:bCs/>
          <w:color w:val="000000"/>
          <w:kern w:val="0"/>
          <w:sz w:val="28"/>
          <w:szCs w:val="28"/>
        </w:rPr>
        <w:t>方面，64%的评估对象符合要求，白沙县、昌江县、临高县、海口市美兰区、琼海市、屯昌县、文昌市、五指山市8个市县缺少对冬季瓜菜、常</w:t>
      </w:r>
      <w:r>
        <w:rPr>
          <w:rFonts w:ascii="仿宋" w:eastAsia="仿宋" w:hAnsi="仿宋" w:cs="仿宋"/>
          <w:bCs/>
          <w:color w:val="000000"/>
          <w:kern w:val="0"/>
          <w:sz w:val="28"/>
          <w:szCs w:val="28"/>
        </w:rPr>
        <w:t>年蔬菜田头价格信息</w:t>
      </w:r>
      <w:r>
        <w:rPr>
          <w:rFonts w:ascii="仿宋" w:eastAsia="仿宋" w:hAnsi="仿宋" w:cs="仿宋" w:hint="eastAsia"/>
          <w:bCs/>
          <w:color w:val="000000"/>
          <w:kern w:val="0"/>
          <w:sz w:val="28"/>
          <w:szCs w:val="28"/>
        </w:rPr>
        <w:t>的公开，占评估对象总数的36%。</w:t>
      </w:r>
    </w:p>
    <w:p w:rsidR="00493C22" w:rsidRDefault="00BC4057">
      <w:pPr>
        <w:pStyle w:val="a8"/>
        <w:numPr>
          <w:ilvl w:val="0"/>
          <w:numId w:val="8"/>
        </w:numPr>
        <w:ind w:firstLineChars="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公开承包土地“三权分置”、农村产权制度改革、农村集体资产清产核资、农业补贴等政策措施方面，95.5%的评估对象符合要求，只有保亭县对相关信息存在要素缺失。</w:t>
      </w:r>
    </w:p>
    <w:p w:rsidR="00493C22" w:rsidRDefault="00BC4057">
      <w:pPr>
        <w:pStyle w:val="a8"/>
        <w:numPr>
          <w:ilvl w:val="0"/>
          <w:numId w:val="8"/>
        </w:numPr>
        <w:ind w:firstLineChars="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农村土地承包经营权确权登记颁证等工作进展情况公开方面，</w:t>
      </w:r>
      <w:r>
        <w:rPr>
          <w:rFonts w:ascii="仿宋" w:eastAsia="仿宋" w:hAnsi="仿宋" w:cs="仿宋"/>
          <w:bCs/>
          <w:color w:val="000000"/>
          <w:kern w:val="0"/>
          <w:sz w:val="28"/>
          <w:szCs w:val="28"/>
        </w:rPr>
        <w:t>73</w:t>
      </w:r>
      <w:r>
        <w:rPr>
          <w:rFonts w:ascii="仿宋" w:eastAsia="仿宋" w:hAnsi="仿宋" w:cs="仿宋" w:hint="eastAsia"/>
          <w:bCs/>
          <w:color w:val="000000"/>
          <w:kern w:val="0"/>
          <w:sz w:val="28"/>
          <w:szCs w:val="28"/>
        </w:rPr>
        <w:t>%的评估对象符合要求，白沙县、临高县、陵水县、海口市琼山区、屯昌县5个市县未公开农村土地承包经营权确权登记颁证等情况。</w:t>
      </w:r>
    </w:p>
    <w:p w:rsidR="00493C22" w:rsidRDefault="00BC4057">
      <w:pPr>
        <w:pStyle w:val="a8"/>
        <w:numPr>
          <w:ilvl w:val="0"/>
          <w:numId w:val="2"/>
        </w:numPr>
        <w:ind w:firstLineChars="0"/>
        <w:rPr>
          <w:rFonts w:ascii="仿宋" w:eastAsia="仿宋" w:hAnsi="仿宋" w:cs="仿宋"/>
          <w:bCs/>
          <w:color w:val="000000"/>
          <w:kern w:val="0"/>
          <w:sz w:val="28"/>
          <w:szCs w:val="28"/>
        </w:rPr>
      </w:pPr>
      <w:bookmarkStart w:id="1" w:name="_Hlk509053754"/>
      <w:r>
        <w:rPr>
          <w:rFonts w:ascii="仿宋" w:eastAsia="仿宋" w:hAnsi="仿宋" w:cs="仿宋" w:hint="eastAsia"/>
          <w:bCs/>
          <w:color w:val="000000"/>
          <w:kern w:val="0"/>
          <w:sz w:val="28"/>
          <w:szCs w:val="28"/>
        </w:rPr>
        <w:t>消费升级和产品质量提升工作信息公开</w:t>
      </w:r>
      <w:bookmarkEnd w:id="1"/>
    </w:p>
    <w:p w:rsidR="00493C22" w:rsidRDefault="00BC4057">
      <w:pPr>
        <w:pStyle w:val="a8"/>
        <w:numPr>
          <w:ilvl w:val="0"/>
          <w:numId w:val="9"/>
        </w:numPr>
        <w:ind w:firstLineChars="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公开与群众密切相关的消费品和全域旅游、体育健身、</w:t>
      </w:r>
      <w:proofErr w:type="gramStart"/>
      <w:r>
        <w:rPr>
          <w:rFonts w:ascii="仿宋" w:eastAsia="仿宋" w:hAnsi="仿宋" w:cs="仿宋" w:hint="eastAsia"/>
          <w:bCs/>
          <w:color w:val="000000"/>
          <w:kern w:val="0"/>
          <w:sz w:val="28"/>
          <w:szCs w:val="28"/>
        </w:rPr>
        <w:t>医</w:t>
      </w:r>
      <w:proofErr w:type="gramEnd"/>
      <w:r>
        <w:rPr>
          <w:rFonts w:ascii="仿宋" w:eastAsia="仿宋" w:hAnsi="仿宋" w:cs="仿宋" w:hint="eastAsia"/>
          <w:bCs/>
          <w:color w:val="000000"/>
          <w:kern w:val="0"/>
          <w:sz w:val="28"/>
          <w:szCs w:val="28"/>
        </w:rPr>
        <w:t>养结合、健康管理、文化创意等新兴服务业的消费情况、质量违法行为记录、产</w:t>
      </w:r>
      <w:r>
        <w:rPr>
          <w:rFonts w:ascii="仿宋" w:eastAsia="仿宋" w:hAnsi="仿宋" w:cs="仿宋"/>
          <w:bCs/>
          <w:color w:val="000000"/>
          <w:kern w:val="0"/>
          <w:sz w:val="28"/>
          <w:szCs w:val="28"/>
        </w:rPr>
        <w:t>品质量监督抽查</w:t>
      </w:r>
      <w:r>
        <w:rPr>
          <w:rFonts w:ascii="仿宋" w:eastAsia="仿宋" w:hAnsi="仿宋" w:cs="仿宋" w:hint="eastAsia"/>
          <w:bCs/>
          <w:color w:val="000000"/>
          <w:kern w:val="0"/>
          <w:sz w:val="28"/>
          <w:szCs w:val="28"/>
        </w:rPr>
        <w:t>及后续处理情况方面，各评估对象都符合要求。</w:t>
      </w:r>
    </w:p>
    <w:p w:rsidR="00493C22" w:rsidRDefault="00BC4057">
      <w:pPr>
        <w:pStyle w:val="a8"/>
        <w:numPr>
          <w:ilvl w:val="0"/>
          <w:numId w:val="9"/>
        </w:numPr>
        <w:ind w:firstLineChars="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公开</w:t>
      </w:r>
      <w:bookmarkStart w:id="2" w:name="_Hlk509053801"/>
      <w:r>
        <w:rPr>
          <w:rFonts w:ascii="仿宋" w:eastAsia="仿宋" w:hAnsi="仿宋" w:cs="仿宋" w:hint="eastAsia"/>
          <w:bCs/>
          <w:color w:val="000000"/>
          <w:kern w:val="0"/>
          <w:sz w:val="28"/>
          <w:szCs w:val="28"/>
        </w:rPr>
        <w:t>生</w:t>
      </w:r>
      <w:r>
        <w:rPr>
          <w:rFonts w:ascii="仿宋" w:eastAsia="仿宋" w:hAnsi="仿宋" w:cs="仿宋"/>
          <w:bCs/>
          <w:color w:val="000000"/>
          <w:kern w:val="0"/>
          <w:sz w:val="28"/>
          <w:szCs w:val="28"/>
        </w:rPr>
        <w:t>产领域</w:t>
      </w:r>
      <w:r>
        <w:rPr>
          <w:rFonts w:ascii="仿宋" w:eastAsia="仿宋" w:hAnsi="仿宋" w:cs="仿宋" w:hint="eastAsia"/>
          <w:bCs/>
          <w:color w:val="000000"/>
          <w:kern w:val="0"/>
          <w:sz w:val="28"/>
          <w:szCs w:val="28"/>
        </w:rPr>
        <w:t>产品质量监管政策法规、标准、程序和结果</w:t>
      </w:r>
      <w:bookmarkEnd w:id="2"/>
      <w:r>
        <w:rPr>
          <w:rFonts w:ascii="仿宋" w:eastAsia="仿宋" w:hAnsi="仿宋" w:cs="仿宋" w:hint="eastAsia"/>
          <w:bCs/>
          <w:color w:val="000000"/>
          <w:kern w:val="0"/>
          <w:sz w:val="28"/>
          <w:szCs w:val="28"/>
        </w:rPr>
        <w:t>方面，95.5%的评估对象符合要求，只有白沙县缺少产品质量监管的法规、标准、程序和结果。</w:t>
      </w:r>
    </w:p>
    <w:p w:rsidR="00493C22" w:rsidRDefault="00BC4057">
      <w:pPr>
        <w:pStyle w:val="a8"/>
        <w:numPr>
          <w:ilvl w:val="0"/>
          <w:numId w:val="9"/>
        </w:numPr>
        <w:ind w:firstLineChars="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质量提升行动、执法专项行动信息公开方面，95.5%的评估对象符合要求，只有定安县缺少产品质量监管的法规、标准、程序和结果，占评估对象总数的4.5%。</w:t>
      </w:r>
    </w:p>
    <w:p w:rsidR="00493C22" w:rsidRDefault="00BC4057">
      <w:pPr>
        <w:pStyle w:val="a8"/>
        <w:numPr>
          <w:ilvl w:val="0"/>
          <w:numId w:val="9"/>
        </w:numPr>
        <w:ind w:firstLineChars="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及时公布流通领域商品质量抽检结果方面，82%的评估对象符合要求，乐东县、海口市美兰区、文昌市、海口市秀英区4个地区和市县未及时公布流通领域商品质量抽检结果。</w:t>
      </w:r>
    </w:p>
    <w:p w:rsidR="00493C22" w:rsidRDefault="00BC4057">
      <w:pPr>
        <w:pStyle w:val="a8"/>
        <w:numPr>
          <w:ilvl w:val="0"/>
          <w:numId w:val="2"/>
        </w:numPr>
        <w:ind w:firstLineChars="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 xml:space="preserve">环境保护信息公开 </w:t>
      </w:r>
    </w:p>
    <w:p w:rsidR="00493C22" w:rsidRDefault="00BC4057">
      <w:pPr>
        <w:ind w:left="840" w:firstLine="42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设置环境保护专栏，公开环境政策措施、环境治理工作进展、企业环境信息及环境评估报告、及时公开全面推行“河长制”工作实施方案、管理保护目标以及河湖保护情况等方面，各评估对象都符合要求。</w:t>
      </w:r>
    </w:p>
    <w:p w:rsidR="00493C22" w:rsidRDefault="00BC4057">
      <w:pPr>
        <w:pStyle w:val="a8"/>
        <w:numPr>
          <w:ilvl w:val="0"/>
          <w:numId w:val="2"/>
        </w:numPr>
        <w:ind w:firstLineChars="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 xml:space="preserve"> 食品药品安全领域信息公开</w:t>
      </w:r>
    </w:p>
    <w:p w:rsidR="00493C22" w:rsidRDefault="00BC4057">
      <w:pPr>
        <w:pStyle w:val="a8"/>
        <w:numPr>
          <w:ilvl w:val="0"/>
          <w:numId w:val="10"/>
        </w:numPr>
        <w:ind w:firstLineChars="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食品药品安全违法行为处罚信息公开方面，各评估对象都符合要求。</w:t>
      </w:r>
    </w:p>
    <w:p w:rsidR="00493C22" w:rsidRDefault="00BC4057">
      <w:pPr>
        <w:pStyle w:val="a8"/>
        <w:numPr>
          <w:ilvl w:val="0"/>
          <w:numId w:val="10"/>
        </w:numPr>
        <w:ind w:firstLineChars="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定期公布全省食品抽检总体情况、发现的主要问题和核查处置情况方面，95.5%的评估对象符合要求，只有文昌市并未定</w:t>
      </w:r>
      <w:proofErr w:type="gramStart"/>
      <w:r>
        <w:rPr>
          <w:rFonts w:ascii="仿宋" w:eastAsia="仿宋" w:hAnsi="仿宋" w:cs="仿宋" w:hint="eastAsia"/>
          <w:bCs/>
          <w:color w:val="000000"/>
          <w:kern w:val="0"/>
          <w:sz w:val="28"/>
          <w:szCs w:val="28"/>
        </w:rPr>
        <w:t>期公布</w:t>
      </w:r>
      <w:proofErr w:type="gramEnd"/>
      <w:r>
        <w:rPr>
          <w:rFonts w:ascii="仿宋" w:eastAsia="仿宋" w:hAnsi="仿宋" w:cs="仿宋" w:hint="eastAsia"/>
          <w:bCs/>
          <w:color w:val="000000"/>
          <w:kern w:val="0"/>
          <w:sz w:val="28"/>
          <w:szCs w:val="28"/>
        </w:rPr>
        <w:t>全省食品抽检总体情况、发现的主要问题和核查处置情况，占评估对象总数的4.5%。</w:t>
      </w:r>
    </w:p>
    <w:p w:rsidR="00493C22" w:rsidRDefault="00BC4057">
      <w:pPr>
        <w:pStyle w:val="a8"/>
        <w:numPr>
          <w:ilvl w:val="0"/>
          <w:numId w:val="2"/>
        </w:numPr>
        <w:ind w:firstLineChars="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房地产市场监管、土地信息公开</w:t>
      </w:r>
    </w:p>
    <w:p w:rsidR="00493C22" w:rsidRDefault="00BC4057">
      <w:pPr>
        <w:pStyle w:val="a8"/>
        <w:numPr>
          <w:ilvl w:val="0"/>
          <w:numId w:val="11"/>
        </w:numPr>
        <w:ind w:firstLineChars="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及时发布土地供应计划、出让公告、成交公示和供应结果信息方面，各评估对象都符合要求。</w:t>
      </w:r>
    </w:p>
    <w:p w:rsidR="00493C22" w:rsidRDefault="00BC4057">
      <w:pPr>
        <w:pStyle w:val="a8"/>
        <w:numPr>
          <w:ilvl w:val="0"/>
          <w:numId w:val="11"/>
        </w:numPr>
        <w:ind w:firstLineChars="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按季度公布房地产用地供应数据、城市地价动态监测数据公开方面，</w:t>
      </w:r>
      <w:r>
        <w:rPr>
          <w:rFonts w:ascii="仿宋" w:eastAsia="仿宋" w:hAnsi="仿宋" w:cs="仿宋"/>
          <w:bCs/>
          <w:color w:val="000000"/>
          <w:kern w:val="0"/>
          <w:sz w:val="28"/>
          <w:szCs w:val="28"/>
        </w:rPr>
        <w:t>86.4</w:t>
      </w:r>
      <w:r>
        <w:rPr>
          <w:rFonts w:ascii="仿宋" w:eastAsia="仿宋" w:hAnsi="仿宋" w:cs="仿宋" w:hint="eastAsia"/>
          <w:bCs/>
          <w:color w:val="000000"/>
          <w:kern w:val="0"/>
          <w:sz w:val="28"/>
          <w:szCs w:val="28"/>
        </w:rPr>
        <w:t>%的评估对象符合要求，澄迈县、东方市、万宁市三个市县未按季度公布房地产用地供应数据和公开城市地价动态监测数据。</w:t>
      </w:r>
    </w:p>
    <w:p w:rsidR="00493C22" w:rsidRDefault="00BC4057">
      <w:pPr>
        <w:pStyle w:val="a8"/>
        <w:numPr>
          <w:ilvl w:val="0"/>
          <w:numId w:val="10"/>
        </w:numPr>
        <w:ind w:firstLineChars="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房地产政策与市场监管信息公开方面，</w:t>
      </w:r>
      <w:r>
        <w:rPr>
          <w:rFonts w:ascii="仿宋" w:eastAsia="仿宋" w:hAnsi="仿宋" w:cs="仿宋"/>
          <w:bCs/>
          <w:color w:val="000000"/>
          <w:kern w:val="0"/>
          <w:sz w:val="28"/>
          <w:szCs w:val="28"/>
        </w:rPr>
        <w:t>81.8</w:t>
      </w:r>
      <w:r>
        <w:rPr>
          <w:rFonts w:ascii="仿宋" w:eastAsia="仿宋" w:hAnsi="仿宋" w:cs="仿宋" w:hint="eastAsia"/>
          <w:bCs/>
          <w:color w:val="000000"/>
          <w:kern w:val="0"/>
          <w:sz w:val="28"/>
          <w:szCs w:val="28"/>
        </w:rPr>
        <w:t>%的评估对象符合要求，定安县、乐东县、海口市美兰区、屯昌县4个市县和地区对房地产政策与市场监管信息未按要求公开。</w:t>
      </w:r>
    </w:p>
    <w:p w:rsidR="00493C22" w:rsidRDefault="00BC4057">
      <w:pPr>
        <w:pStyle w:val="a8"/>
        <w:numPr>
          <w:ilvl w:val="0"/>
          <w:numId w:val="10"/>
        </w:numPr>
        <w:ind w:firstLineChars="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公开棚户区改造及配套基础设施建设、农村危房改造相关政策措施执行情况方面，77.3%的评估对象符合要求，白沙县、昌江县、定安县、三亚市、五指山市5个市县关于棚户区改造及配套基础设施建设、农村危房改造相关政策措施执行情况存在公开不到位的情况。</w:t>
      </w:r>
    </w:p>
    <w:p w:rsidR="00493C22" w:rsidRDefault="00BC4057">
      <w:pPr>
        <w:pStyle w:val="a8"/>
        <w:numPr>
          <w:ilvl w:val="0"/>
          <w:numId w:val="10"/>
        </w:numPr>
        <w:ind w:firstLineChars="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公开保障性安居工程相关任务完成情况方面，95.5%的评估对象符合要求，只有乐东县对于保障性安居工程相关任务完成情况公开不到位，占评估对象总数的4.5%。</w:t>
      </w:r>
    </w:p>
    <w:p w:rsidR="00493C22" w:rsidRDefault="00BC4057">
      <w:pPr>
        <w:pStyle w:val="a8"/>
        <w:numPr>
          <w:ilvl w:val="0"/>
          <w:numId w:val="2"/>
        </w:numPr>
        <w:ind w:firstLineChars="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社会救助信息公开</w:t>
      </w:r>
    </w:p>
    <w:p w:rsidR="00493C22" w:rsidRDefault="00BC4057">
      <w:pPr>
        <w:ind w:left="840" w:firstLine="42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开设社会救助</w:t>
      </w:r>
      <w:r>
        <w:rPr>
          <w:rFonts w:ascii="仿宋" w:eastAsia="仿宋" w:hAnsi="仿宋" w:cs="仿宋"/>
          <w:bCs/>
          <w:color w:val="000000"/>
          <w:kern w:val="0"/>
          <w:sz w:val="28"/>
          <w:szCs w:val="28"/>
        </w:rPr>
        <w:t>专栏</w:t>
      </w:r>
      <w:r>
        <w:rPr>
          <w:rFonts w:ascii="仿宋" w:eastAsia="仿宋" w:hAnsi="仿宋" w:cs="仿宋" w:hint="eastAsia"/>
          <w:bCs/>
          <w:color w:val="000000"/>
          <w:kern w:val="0"/>
          <w:sz w:val="28"/>
          <w:szCs w:val="28"/>
        </w:rPr>
        <w:t>，集</w:t>
      </w:r>
      <w:r>
        <w:rPr>
          <w:rFonts w:ascii="仿宋" w:eastAsia="仿宋" w:hAnsi="仿宋" w:cs="仿宋"/>
          <w:bCs/>
          <w:color w:val="000000"/>
          <w:kern w:val="0"/>
          <w:sz w:val="28"/>
          <w:szCs w:val="28"/>
        </w:rPr>
        <w:t>中公开</w:t>
      </w:r>
      <w:r>
        <w:rPr>
          <w:rFonts w:ascii="仿宋" w:eastAsia="仿宋" w:hAnsi="仿宋" w:cs="仿宋" w:hint="eastAsia"/>
          <w:bCs/>
          <w:color w:val="000000"/>
          <w:kern w:val="0"/>
          <w:sz w:val="28"/>
          <w:szCs w:val="28"/>
        </w:rPr>
        <w:t>城乡低保、特困人员救助供养、医疗救助、临时救助等</w:t>
      </w:r>
      <w:r>
        <w:rPr>
          <w:rFonts w:ascii="仿宋" w:eastAsia="仿宋" w:hAnsi="仿宋" w:cs="仿宋"/>
          <w:bCs/>
          <w:color w:val="000000"/>
          <w:kern w:val="0"/>
          <w:sz w:val="28"/>
          <w:szCs w:val="28"/>
        </w:rPr>
        <w:t>信息</w:t>
      </w:r>
      <w:r>
        <w:rPr>
          <w:rFonts w:ascii="仿宋" w:eastAsia="仿宋" w:hAnsi="仿宋" w:cs="仿宋" w:hint="eastAsia"/>
          <w:bCs/>
          <w:color w:val="000000"/>
          <w:kern w:val="0"/>
          <w:sz w:val="28"/>
          <w:szCs w:val="28"/>
        </w:rPr>
        <w:t>公开方面，各评估对象都符合要求。</w:t>
      </w:r>
    </w:p>
    <w:p w:rsidR="00493C22" w:rsidRDefault="00BC4057">
      <w:pPr>
        <w:pStyle w:val="a8"/>
        <w:numPr>
          <w:ilvl w:val="0"/>
          <w:numId w:val="2"/>
        </w:numPr>
        <w:ind w:firstLineChars="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安全生产信息公开</w:t>
      </w:r>
    </w:p>
    <w:p w:rsidR="00493C22" w:rsidRDefault="00BC4057">
      <w:pPr>
        <w:pStyle w:val="a8"/>
        <w:numPr>
          <w:ilvl w:val="0"/>
          <w:numId w:val="12"/>
        </w:numPr>
        <w:ind w:firstLineChars="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公开重大风险隐患排查信息方面，各评估对象都符合要求。</w:t>
      </w:r>
    </w:p>
    <w:p w:rsidR="00493C22" w:rsidRDefault="00BC4057">
      <w:pPr>
        <w:pStyle w:val="a8"/>
        <w:numPr>
          <w:ilvl w:val="0"/>
          <w:numId w:val="12"/>
        </w:numPr>
        <w:ind w:firstLineChars="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公开安全生产监管监察常规检查执法、暗查暗访、突击检查、随机抽查等执法信息方面，95.5%的评估对象符合要求，只有白沙县对于安全生产监管监察常规检查执法、突击检查、随机抽查等执法信息公开不到位。</w:t>
      </w:r>
    </w:p>
    <w:p w:rsidR="00493C22" w:rsidRDefault="00BC4057">
      <w:pPr>
        <w:ind w:left="84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3. 公开安全生产不良记录“黑名单”制度，并向社会公布方面，只有63.6%的评估对象公开安全生产不良记录“黑名单”制度，并向社会公布。海口市、乐东县、陵水县、琼中市、三亚市、屯昌县、五指山市、海口市秀英区8个市县对于安全生产不良记录“黑名单”制度公开不到位。</w:t>
      </w:r>
    </w:p>
    <w:p w:rsidR="00493C22" w:rsidRDefault="00BC4057">
      <w:pPr>
        <w:pStyle w:val="a8"/>
        <w:numPr>
          <w:ilvl w:val="0"/>
          <w:numId w:val="2"/>
        </w:numPr>
        <w:ind w:firstLineChars="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涉农资金信息公开</w:t>
      </w:r>
    </w:p>
    <w:p w:rsidR="00493C22" w:rsidRDefault="00BC4057">
      <w:pPr>
        <w:ind w:left="840" w:firstLine="42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涉农资金管理信息公开方面，</w:t>
      </w:r>
      <w:r>
        <w:rPr>
          <w:rFonts w:ascii="仿宋" w:eastAsia="仿宋" w:hAnsi="仿宋" w:cs="仿宋"/>
          <w:bCs/>
          <w:color w:val="000000"/>
          <w:kern w:val="0"/>
          <w:sz w:val="28"/>
          <w:szCs w:val="28"/>
        </w:rPr>
        <w:t>81.8</w:t>
      </w:r>
      <w:r>
        <w:rPr>
          <w:rFonts w:ascii="仿宋" w:eastAsia="仿宋" w:hAnsi="仿宋" w:cs="仿宋" w:hint="eastAsia"/>
          <w:bCs/>
          <w:color w:val="000000"/>
          <w:kern w:val="0"/>
          <w:sz w:val="28"/>
          <w:szCs w:val="28"/>
        </w:rPr>
        <w:t>%的评估对象符合要求，陵水县、海口市龙华区、海口市琼山区、海口市秀英区4个区县对于公开涉农资金管理信息中的资金使用情况、资金发放情况存在不同程度的要素缺失。</w:t>
      </w:r>
    </w:p>
    <w:p w:rsidR="00493C22" w:rsidRDefault="00493C22">
      <w:pPr>
        <w:ind w:left="840" w:firstLine="420"/>
        <w:rPr>
          <w:rFonts w:ascii="仿宋" w:eastAsia="仿宋" w:hAnsi="仿宋" w:cs="仿宋"/>
          <w:bCs/>
          <w:color w:val="000000"/>
          <w:kern w:val="0"/>
          <w:sz w:val="28"/>
          <w:szCs w:val="28"/>
        </w:rPr>
      </w:pPr>
    </w:p>
    <w:p w:rsidR="00493C22" w:rsidRDefault="00BC4057">
      <w:pPr>
        <w:pStyle w:val="a8"/>
        <w:numPr>
          <w:ilvl w:val="0"/>
          <w:numId w:val="1"/>
        </w:numPr>
        <w:ind w:firstLineChars="0"/>
        <w:rPr>
          <w:rFonts w:ascii="仿宋" w:eastAsia="仿宋" w:hAnsi="仿宋" w:cs="仿宋"/>
          <w:b/>
          <w:color w:val="000000"/>
          <w:kern w:val="0"/>
          <w:sz w:val="28"/>
          <w:szCs w:val="28"/>
        </w:rPr>
      </w:pPr>
      <w:r>
        <w:rPr>
          <w:rFonts w:ascii="仿宋" w:eastAsia="仿宋" w:hAnsi="仿宋" w:cs="仿宋" w:hint="eastAsia"/>
          <w:b/>
          <w:color w:val="000000"/>
          <w:kern w:val="0"/>
          <w:sz w:val="28"/>
          <w:szCs w:val="28"/>
        </w:rPr>
        <w:t>依申请公开方面</w:t>
      </w:r>
    </w:p>
    <w:p w:rsidR="00493C22" w:rsidRDefault="00BC4057">
      <w:pPr>
        <w:pStyle w:val="a8"/>
        <w:numPr>
          <w:ilvl w:val="0"/>
          <w:numId w:val="13"/>
        </w:numPr>
        <w:ind w:firstLineChars="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答复的及时性</w:t>
      </w:r>
    </w:p>
    <w:p w:rsidR="00493C22" w:rsidRDefault="00BC4057">
      <w:pPr>
        <w:ind w:left="420" w:firstLine="30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对于依申请公开信息的答复及时性，77%的评估对象符合要求，白沙县、保亭县、澄迈县3个市县无法在政府门户网站进行申请，因此答复内容及时性的评估无法进行，因此认定为不符合要求。定安县、五指山市2个市县未在规定时限内对依申请的信息进行答复，并且在超规定时限后也未对依申请公开的内容进行答复，以上不符合要求的市县，占评估对象总数的23%。</w:t>
      </w:r>
    </w:p>
    <w:p w:rsidR="00493C22" w:rsidRDefault="00BC4057">
      <w:pPr>
        <w:pStyle w:val="a8"/>
        <w:numPr>
          <w:ilvl w:val="0"/>
          <w:numId w:val="13"/>
        </w:numPr>
        <w:ind w:firstLineChars="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答复内容的规范性</w:t>
      </w:r>
    </w:p>
    <w:p w:rsidR="00493C22" w:rsidRDefault="00BC4057">
      <w:pPr>
        <w:ind w:left="420" w:firstLine="30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对于依申请公开信息答复内容的规范性，77%的评估对象符合要求，白沙县、保亭县、澄迈县3个市县无法在政府门户网站进行申请，因此答复内容规范性的评估无法进行，故认定为不符合要求。定安县、五指山市2个市县未在规定时限内对依申请的信息进行答复，并且在超规定时限后也未对依申请公开的内容进行答复，故认定为不符合要求。综合以上不符合要求的市县，占评估对象总数的23%。</w:t>
      </w:r>
    </w:p>
    <w:p w:rsidR="00493C22" w:rsidRDefault="00BC4057">
      <w:pPr>
        <w:pStyle w:val="a8"/>
        <w:numPr>
          <w:ilvl w:val="0"/>
          <w:numId w:val="13"/>
        </w:numPr>
        <w:ind w:firstLineChars="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答复形式的规范性</w:t>
      </w:r>
    </w:p>
    <w:p w:rsidR="00493C22" w:rsidRDefault="00BC4057">
      <w:pPr>
        <w:ind w:left="420" w:firstLine="30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对于依申请公开信息答复形式的规范性，77%的评估对象符合要求，白沙县、保亭县、澄迈县、定安县、五指山市5个市县并未答复，因此答复形式规范性的评估无法进行，因此认定为不符合要求。</w:t>
      </w:r>
    </w:p>
    <w:p w:rsidR="00493C22" w:rsidRDefault="00BC4057">
      <w:pPr>
        <w:pStyle w:val="a8"/>
        <w:numPr>
          <w:ilvl w:val="0"/>
          <w:numId w:val="13"/>
        </w:numPr>
        <w:ind w:firstLineChars="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申请渠道的畅通</w:t>
      </w:r>
    </w:p>
    <w:p w:rsidR="00493C22" w:rsidRDefault="00BC4057">
      <w:pPr>
        <w:ind w:left="420" w:firstLine="30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申请渠道的畅通方面，86%的评估对象符合要求，白沙县、保亭县、 澄迈县3个市县无法在政府门户网站进行申请，因此不符合要求，占评估市县总数的14%。</w:t>
      </w:r>
    </w:p>
    <w:p w:rsidR="00493C22" w:rsidRDefault="00BC4057">
      <w:pPr>
        <w:pStyle w:val="a8"/>
        <w:numPr>
          <w:ilvl w:val="0"/>
          <w:numId w:val="1"/>
        </w:numPr>
        <w:ind w:firstLineChars="0"/>
        <w:rPr>
          <w:rFonts w:ascii="仿宋" w:eastAsia="仿宋" w:hAnsi="仿宋" w:cs="仿宋"/>
          <w:b/>
          <w:color w:val="000000"/>
          <w:kern w:val="0"/>
          <w:sz w:val="28"/>
          <w:szCs w:val="28"/>
        </w:rPr>
      </w:pPr>
      <w:r>
        <w:rPr>
          <w:rFonts w:ascii="仿宋" w:eastAsia="仿宋" w:hAnsi="仿宋" w:cs="仿宋" w:hint="eastAsia"/>
          <w:b/>
          <w:color w:val="000000"/>
          <w:kern w:val="0"/>
          <w:sz w:val="28"/>
          <w:szCs w:val="28"/>
        </w:rPr>
        <w:t>政策解读与回应关切</w:t>
      </w:r>
    </w:p>
    <w:p w:rsidR="00493C22" w:rsidRDefault="00BC4057">
      <w:pPr>
        <w:pStyle w:val="a8"/>
        <w:numPr>
          <w:ilvl w:val="0"/>
          <w:numId w:val="14"/>
        </w:numPr>
        <w:ind w:firstLineChars="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政策解读</w:t>
      </w:r>
    </w:p>
    <w:p w:rsidR="00493C22" w:rsidRDefault="00BC4057">
      <w:pPr>
        <w:pStyle w:val="a8"/>
        <w:numPr>
          <w:ilvl w:val="0"/>
          <w:numId w:val="15"/>
        </w:numPr>
        <w:ind w:firstLineChars="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政策解读专栏设置上，95.5%的评估对象均设置了政策解读栏目，但海口市美兰区未设置，不合格率占4.5%。</w:t>
      </w:r>
    </w:p>
    <w:p w:rsidR="00493C22" w:rsidRDefault="00BC4057">
      <w:pPr>
        <w:pStyle w:val="a8"/>
        <w:numPr>
          <w:ilvl w:val="0"/>
          <w:numId w:val="15"/>
        </w:numPr>
        <w:ind w:firstLineChars="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解读形式方面，72.73%的评估对象的解读形式超过两种，但昌江县、澄迈县、海口市琼山区、屯昌县、万宁市、海口市秀英区6个</w:t>
      </w:r>
      <w:proofErr w:type="gramStart"/>
      <w:r>
        <w:rPr>
          <w:rFonts w:ascii="仿宋" w:eastAsia="仿宋" w:hAnsi="仿宋" w:cs="仿宋" w:hint="eastAsia"/>
          <w:bCs/>
          <w:color w:val="000000"/>
          <w:kern w:val="0"/>
          <w:sz w:val="28"/>
          <w:szCs w:val="28"/>
        </w:rPr>
        <w:t>区县未</w:t>
      </w:r>
      <w:proofErr w:type="gramEnd"/>
      <w:r>
        <w:rPr>
          <w:rFonts w:ascii="仿宋" w:eastAsia="仿宋" w:hAnsi="仿宋" w:cs="仿宋" w:hint="eastAsia"/>
          <w:bCs/>
          <w:color w:val="000000"/>
          <w:kern w:val="0"/>
          <w:sz w:val="28"/>
          <w:szCs w:val="28"/>
        </w:rPr>
        <w:t>利用网站、微博、微信、政务客户端等多媒体解读或解读的形式少于两种。</w:t>
      </w:r>
    </w:p>
    <w:p w:rsidR="00493C22" w:rsidRDefault="00BC4057">
      <w:pPr>
        <w:pStyle w:val="a8"/>
        <w:numPr>
          <w:ilvl w:val="0"/>
          <w:numId w:val="15"/>
        </w:numPr>
        <w:ind w:firstLineChars="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市县主要领导解读政策方面，72.7%的评估对象在市县主要领导解读方面少于1次，只有白沙县、海口市、海口市美兰区、琼海县、三亚市、五指山市6个市县符合评估要求，合格率为27.3%。</w:t>
      </w:r>
    </w:p>
    <w:p w:rsidR="00493C22" w:rsidRDefault="00BC4057">
      <w:pPr>
        <w:pStyle w:val="a8"/>
        <w:numPr>
          <w:ilvl w:val="0"/>
          <w:numId w:val="15"/>
        </w:numPr>
        <w:ind w:firstLineChars="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在省法制部门备案的文件全部公开方面，72.7%的评估对象在省法制部门备案的文件并不能达到全部公开，只有白沙县、海口市龙华区、海口市美兰区、海口市琼山区、琼中县、海口市秀英区6个区县符合评估要求，合格率为27.3%。</w:t>
      </w:r>
    </w:p>
    <w:p w:rsidR="00493C22" w:rsidRDefault="00BC4057">
      <w:pPr>
        <w:pStyle w:val="a8"/>
        <w:numPr>
          <w:ilvl w:val="0"/>
          <w:numId w:val="14"/>
        </w:numPr>
        <w:ind w:firstLineChars="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 xml:space="preserve"> 回应关切</w:t>
      </w:r>
    </w:p>
    <w:p w:rsidR="00493C22" w:rsidRDefault="00BC4057">
      <w:pPr>
        <w:pStyle w:val="a8"/>
        <w:numPr>
          <w:ilvl w:val="0"/>
          <w:numId w:val="16"/>
        </w:numPr>
        <w:ind w:firstLineChars="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回应关切专栏设置上，东方市、海口市、乐东县等20个市县未设置回应关切栏目，不合格率占90.9%。</w:t>
      </w:r>
    </w:p>
    <w:p w:rsidR="00493C22" w:rsidRDefault="00BC4057">
      <w:pPr>
        <w:pStyle w:val="a8"/>
        <w:numPr>
          <w:ilvl w:val="0"/>
          <w:numId w:val="16"/>
        </w:numPr>
        <w:ind w:firstLineChars="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涉及公共利益、社会广泛关注的热点问题，各评估对象都能及时回应。</w:t>
      </w:r>
    </w:p>
    <w:p w:rsidR="00493C22" w:rsidRDefault="00BC4057">
      <w:pPr>
        <w:pStyle w:val="a8"/>
        <w:numPr>
          <w:ilvl w:val="0"/>
          <w:numId w:val="14"/>
        </w:numPr>
        <w:ind w:firstLineChars="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热点回应与舆情分析</w:t>
      </w:r>
    </w:p>
    <w:p w:rsidR="00493C22" w:rsidRDefault="00BC4057">
      <w:pPr>
        <w:ind w:left="420" w:firstLine="300"/>
        <w:rPr>
          <w:rFonts w:ascii="仿宋" w:eastAsia="仿宋" w:hAnsi="仿宋" w:cs="仿宋"/>
          <w:bCs/>
          <w:color w:val="000000"/>
          <w:kern w:val="0"/>
          <w:sz w:val="28"/>
          <w:szCs w:val="28"/>
        </w:rPr>
      </w:pPr>
      <w:r>
        <w:rPr>
          <w:rFonts w:ascii="仿宋" w:eastAsia="仿宋" w:hAnsi="仿宋" w:cs="仿宋" w:hint="eastAsia"/>
          <w:bCs/>
          <w:color w:val="000000"/>
          <w:kern w:val="0"/>
          <w:sz w:val="28"/>
          <w:szCs w:val="28"/>
        </w:rPr>
        <w:t>在执行特别重大、重大突发事件方面，各评估对象都做到了最迟5小时内发布权威信息、24小时内举行新闻发布会的时限要求，落实了通报批评和约谈制度。</w:t>
      </w:r>
    </w:p>
    <w:p w:rsidR="00493C22" w:rsidRDefault="00493C22">
      <w:pPr>
        <w:ind w:firstLineChars="500" w:firstLine="1405"/>
        <w:jc w:val="center"/>
        <w:rPr>
          <w:rFonts w:ascii="仿宋" w:eastAsia="仿宋" w:hAnsi="仿宋" w:cs="仿宋"/>
          <w:b/>
          <w:sz w:val="28"/>
          <w:szCs w:val="28"/>
        </w:rPr>
      </w:pPr>
    </w:p>
    <w:p w:rsidR="00493C22" w:rsidRDefault="00493C22">
      <w:pPr>
        <w:ind w:firstLineChars="500" w:firstLine="1405"/>
        <w:jc w:val="center"/>
        <w:rPr>
          <w:rFonts w:ascii="仿宋" w:eastAsia="仿宋" w:hAnsi="仿宋" w:cs="仿宋"/>
          <w:b/>
          <w:sz w:val="28"/>
          <w:szCs w:val="28"/>
        </w:rPr>
      </w:pPr>
    </w:p>
    <w:p w:rsidR="00493C22" w:rsidRDefault="00493C22">
      <w:pPr>
        <w:ind w:firstLineChars="500" w:firstLine="1405"/>
        <w:jc w:val="center"/>
        <w:rPr>
          <w:rFonts w:ascii="仿宋" w:eastAsia="仿宋" w:hAnsi="仿宋" w:cs="仿宋"/>
          <w:b/>
          <w:sz w:val="28"/>
          <w:szCs w:val="28"/>
        </w:rPr>
      </w:pPr>
    </w:p>
    <w:p w:rsidR="00493C22" w:rsidRDefault="00493C22">
      <w:pPr>
        <w:rPr>
          <w:rFonts w:ascii="仿宋" w:eastAsia="仿宋" w:hAnsi="仿宋" w:cs="仿宋"/>
          <w:b/>
          <w:sz w:val="28"/>
          <w:szCs w:val="28"/>
        </w:rPr>
      </w:pPr>
    </w:p>
    <w:p w:rsidR="00493C22" w:rsidRDefault="001E4BFA" w:rsidP="001E4BFA">
      <w:pPr>
        <w:ind w:right="840" w:firstLineChars="700" w:firstLine="2249"/>
        <w:jc w:val="right"/>
        <w:rPr>
          <w:rFonts w:ascii="仿宋" w:eastAsia="仿宋" w:hAnsi="仿宋" w:cs="仿宋"/>
          <w:b/>
          <w:sz w:val="32"/>
          <w:szCs w:val="32"/>
        </w:rPr>
      </w:pPr>
      <w:bookmarkStart w:id="3" w:name="_GoBack"/>
      <w:r>
        <w:rPr>
          <w:rFonts w:ascii="仿宋" w:eastAsia="仿宋" w:hAnsi="仿宋" w:cs="仿宋" w:hint="eastAsia"/>
          <w:b/>
          <w:sz w:val="32"/>
          <w:szCs w:val="32"/>
        </w:rPr>
        <w:t>海南大学法学院法治政府</w:t>
      </w:r>
      <w:proofErr w:type="gramStart"/>
      <w:r>
        <w:rPr>
          <w:rFonts w:ascii="仿宋" w:eastAsia="仿宋" w:hAnsi="仿宋" w:cs="仿宋" w:hint="eastAsia"/>
          <w:b/>
          <w:sz w:val="32"/>
          <w:szCs w:val="32"/>
        </w:rPr>
        <w:t>建设工</w:t>
      </w:r>
      <w:r w:rsidR="00BC4057">
        <w:rPr>
          <w:rFonts w:ascii="仿宋" w:eastAsia="仿宋" w:hAnsi="仿宋" w:cs="仿宋" w:hint="eastAsia"/>
          <w:b/>
          <w:sz w:val="32"/>
          <w:szCs w:val="32"/>
        </w:rPr>
        <w:t>目组</w:t>
      </w:r>
      <w:proofErr w:type="gramEnd"/>
      <w:r w:rsidR="00BC4057">
        <w:rPr>
          <w:rFonts w:ascii="仿宋" w:eastAsia="仿宋" w:hAnsi="仿宋" w:cs="仿宋" w:hint="eastAsia"/>
          <w:b/>
          <w:sz w:val="32"/>
          <w:szCs w:val="32"/>
        </w:rPr>
        <w:t xml:space="preserve">  </w:t>
      </w:r>
    </w:p>
    <w:p w:rsidR="00493C22" w:rsidRDefault="00BC4057" w:rsidP="001E4BFA">
      <w:pPr>
        <w:ind w:right="1284" w:firstLineChars="700" w:firstLine="2249"/>
        <w:rPr>
          <w:rFonts w:ascii="仿宋" w:eastAsia="仿宋" w:hAnsi="仿宋" w:cs="仿宋"/>
          <w:b/>
          <w:sz w:val="32"/>
          <w:szCs w:val="32"/>
        </w:rPr>
      </w:pPr>
      <w:r>
        <w:rPr>
          <w:rFonts w:ascii="仿宋" w:eastAsia="仿宋" w:hAnsi="仿宋" w:cs="仿宋" w:hint="eastAsia"/>
          <w:b/>
          <w:sz w:val="32"/>
          <w:szCs w:val="32"/>
        </w:rPr>
        <w:t xml:space="preserve">   </w:t>
      </w:r>
      <w:r w:rsidR="001E4BFA">
        <w:rPr>
          <w:rFonts w:ascii="仿宋" w:eastAsia="仿宋" w:hAnsi="仿宋" w:cs="仿宋" w:hint="eastAsia"/>
          <w:b/>
          <w:sz w:val="32"/>
          <w:szCs w:val="32"/>
        </w:rPr>
        <w:t xml:space="preserve">    </w:t>
      </w:r>
      <w:r>
        <w:rPr>
          <w:rFonts w:ascii="仿宋" w:eastAsia="仿宋" w:hAnsi="仿宋" w:cs="仿宋" w:hint="eastAsia"/>
          <w:b/>
          <w:sz w:val="32"/>
          <w:szCs w:val="32"/>
        </w:rPr>
        <w:t xml:space="preserve">   2018年4月26日</w:t>
      </w:r>
      <w:bookmarkEnd w:id="3"/>
    </w:p>
    <w:p w:rsidR="00493C22" w:rsidRDefault="00493C22">
      <w:pPr>
        <w:ind w:firstLine="420"/>
        <w:rPr>
          <w:rFonts w:cs="仿宋"/>
          <w:bCs/>
          <w:color w:val="000000"/>
          <w:kern w:val="0"/>
          <w:sz w:val="28"/>
          <w:szCs w:val="28"/>
        </w:rPr>
      </w:pPr>
    </w:p>
    <w:p w:rsidR="00493C22" w:rsidRDefault="00493C22">
      <w:pPr>
        <w:ind w:firstLine="420"/>
        <w:rPr>
          <w:rFonts w:cs="仿宋"/>
          <w:bCs/>
          <w:color w:val="000000"/>
          <w:kern w:val="0"/>
          <w:sz w:val="28"/>
          <w:szCs w:val="28"/>
        </w:rPr>
      </w:pPr>
    </w:p>
    <w:p w:rsidR="00493C22" w:rsidRDefault="00493C22">
      <w:pPr>
        <w:rPr>
          <w:rFonts w:cs="仿宋"/>
          <w:bCs/>
          <w:color w:val="000000"/>
          <w:kern w:val="0"/>
          <w:sz w:val="28"/>
          <w:szCs w:val="28"/>
        </w:rPr>
      </w:pPr>
    </w:p>
    <w:sectPr w:rsidR="00493C22" w:rsidSect="00493C2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46E2" w:rsidRDefault="001A46E2" w:rsidP="001E4BFA">
      <w:r>
        <w:separator/>
      </w:r>
    </w:p>
  </w:endnote>
  <w:endnote w:type="continuationSeparator" w:id="0">
    <w:p w:rsidR="001A46E2" w:rsidRDefault="001A46E2" w:rsidP="001E4B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等线">
    <w:altName w:val="宋体"/>
    <w:charset w:val="86"/>
    <w:family w:val="auto"/>
    <w:pitch w:val="default"/>
    <w:sig w:usb0="00000000" w:usb1="00000000"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Light">
    <w:altName w:val="宋体"/>
    <w:panose1 w:val="00000000000000000000"/>
    <w:charset w:val="86"/>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46E2" w:rsidRDefault="001A46E2" w:rsidP="001E4BFA">
      <w:r>
        <w:separator/>
      </w:r>
    </w:p>
  </w:footnote>
  <w:footnote w:type="continuationSeparator" w:id="0">
    <w:p w:rsidR="001A46E2" w:rsidRDefault="001A46E2" w:rsidP="001E4BF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774813"/>
    <w:multiLevelType w:val="multilevel"/>
    <w:tmpl w:val="11774813"/>
    <w:lvl w:ilvl="0">
      <w:start w:val="1"/>
      <w:numFmt w:val="decimal"/>
      <w:lvlText w:val="%1."/>
      <w:lvlJc w:val="left"/>
      <w:pPr>
        <w:ind w:left="1200" w:hanging="36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
    <w:nsid w:val="16597D72"/>
    <w:multiLevelType w:val="multilevel"/>
    <w:tmpl w:val="16597D72"/>
    <w:lvl w:ilvl="0">
      <w:start w:val="1"/>
      <w:numFmt w:val="decimal"/>
      <w:lvlText w:val="%1."/>
      <w:lvlJc w:val="left"/>
      <w:pPr>
        <w:ind w:left="1200" w:hanging="36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2">
    <w:nsid w:val="17A415CA"/>
    <w:multiLevelType w:val="multilevel"/>
    <w:tmpl w:val="17A415CA"/>
    <w:lvl w:ilvl="0">
      <w:start w:val="1"/>
      <w:numFmt w:val="japaneseCounting"/>
      <w:lvlText w:val="（%1）"/>
      <w:lvlJc w:val="left"/>
      <w:pPr>
        <w:ind w:left="1548" w:hanging="828"/>
      </w:pPr>
      <w:rPr>
        <w:rFonts w:hint="default"/>
      </w:r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abstractNum w:abstractNumId="3">
    <w:nsid w:val="31152501"/>
    <w:multiLevelType w:val="multilevel"/>
    <w:tmpl w:val="31152501"/>
    <w:lvl w:ilvl="0">
      <w:start w:val="1"/>
      <w:numFmt w:val="decimal"/>
      <w:lvlText w:val="%1."/>
      <w:lvlJc w:val="left"/>
      <w:pPr>
        <w:ind w:left="1212" w:hanging="492"/>
      </w:pPr>
      <w:rPr>
        <w:rFonts w:hint="default"/>
      </w:r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abstractNum w:abstractNumId="4">
    <w:nsid w:val="3E592EC6"/>
    <w:multiLevelType w:val="multilevel"/>
    <w:tmpl w:val="3E592EC6"/>
    <w:lvl w:ilvl="0">
      <w:start w:val="1"/>
      <w:numFmt w:val="decimal"/>
      <w:lvlText w:val="%1."/>
      <w:lvlJc w:val="left"/>
      <w:pPr>
        <w:ind w:left="1104" w:hanging="384"/>
      </w:pPr>
      <w:rPr>
        <w:rFonts w:hint="default"/>
      </w:r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abstractNum w:abstractNumId="5">
    <w:nsid w:val="5236169D"/>
    <w:multiLevelType w:val="multilevel"/>
    <w:tmpl w:val="5236169D"/>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6">
    <w:nsid w:val="534C4DCD"/>
    <w:multiLevelType w:val="multilevel"/>
    <w:tmpl w:val="534C4DCD"/>
    <w:lvl w:ilvl="0">
      <w:start w:val="1"/>
      <w:numFmt w:val="decimal"/>
      <w:lvlText w:val="%1."/>
      <w:lvlJc w:val="left"/>
      <w:pPr>
        <w:ind w:left="1260" w:hanging="4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7">
    <w:nsid w:val="560E17B7"/>
    <w:multiLevelType w:val="multilevel"/>
    <w:tmpl w:val="560E17B7"/>
    <w:lvl w:ilvl="0">
      <w:start w:val="1"/>
      <w:numFmt w:val="decimal"/>
      <w:lvlText w:val="%1."/>
      <w:lvlJc w:val="left"/>
      <w:pPr>
        <w:ind w:left="1200" w:hanging="36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8">
    <w:nsid w:val="57F05B60"/>
    <w:multiLevelType w:val="multilevel"/>
    <w:tmpl w:val="57F05B60"/>
    <w:lvl w:ilvl="0">
      <w:start w:val="1"/>
      <w:numFmt w:val="decimal"/>
      <w:lvlText w:val="%1."/>
      <w:lvlJc w:val="left"/>
      <w:pPr>
        <w:ind w:left="1080" w:hanging="360"/>
      </w:pPr>
      <w:rPr>
        <w:rFonts w:hint="default"/>
      </w:r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abstractNum w:abstractNumId="9">
    <w:nsid w:val="5C1C64AC"/>
    <w:multiLevelType w:val="multilevel"/>
    <w:tmpl w:val="5C1C64AC"/>
    <w:lvl w:ilvl="0">
      <w:start w:val="1"/>
      <w:numFmt w:val="japaneseCounting"/>
      <w:lvlText w:val="（%1）"/>
      <w:lvlJc w:val="left"/>
      <w:pPr>
        <w:ind w:left="1548" w:hanging="828"/>
      </w:pPr>
      <w:rPr>
        <w:rFonts w:hint="default"/>
      </w:r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abstractNum w:abstractNumId="10">
    <w:nsid w:val="62854AEB"/>
    <w:multiLevelType w:val="multilevel"/>
    <w:tmpl w:val="62854AEB"/>
    <w:lvl w:ilvl="0">
      <w:start w:val="1"/>
      <w:numFmt w:val="decimal"/>
      <w:lvlText w:val="%1."/>
      <w:lvlJc w:val="left"/>
      <w:pPr>
        <w:ind w:left="1080" w:hanging="360"/>
      </w:pPr>
      <w:rPr>
        <w:rFonts w:hint="default"/>
      </w:r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abstractNum w:abstractNumId="11">
    <w:nsid w:val="727D7623"/>
    <w:multiLevelType w:val="multilevel"/>
    <w:tmpl w:val="727D7623"/>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73765047"/>
    <w:multiLevelType w:val="multilevel"/>
    <w:tmpl w:val="73765047"/>
    <w:lvl w:ilvl="0">
      <w:start w:val="1"/>
      <w:numFmt w:val="decimal"/>
      <w:lvlText w:val="%1."/>
      <w:lvlJc w:val="left"/>
      <w:pPr>
        <w:ind w:left="1200" w:hanging="36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3">
    <w:nsid w:val="77E55668"/>
    <w:multiLevelType w:val="multilevel"/>
    <w:tmpl w:val="77E55668"/>
    <w:lvl w:ilvl="0">
      <w:start w:val="1"/>
      <w:numFmt w:val="decimal"/>
      <w:lvlText w:val="%1."/>
      <w:lvlJc w:val="left"/>
      <w:pPr>
        <w:ind w:left="1080" w:hanging="360"/>
      </w:pPr>
      <w:rPr>
        <w:rFonts w:hint="default"/>
      </w:r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abstractNum w:abstractNumId="14">
    <w:nsid w:val="7AC10B2E"/>
    <w:multiLevelType w:val="multilevel"/>
    <w:tmpl w:val="7AC10B2E"/>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5">
    <w:nsid w:val="7D1C5E2B"/>
    <w:multiLevelType w:val="multilevel"/>
    <w:tmpl w:val="7D1C5E2B"/>
    <w:lvl w:ilvl="0">
      <w:start w:val="1"/>
      <w:numFmt w:val="japaneseCounting"/>
      <w:lvlText w:val="（%1）"/>
      <w:lvlJc w:val="left"/>
      <w:pPr>
        <w:ind w:left="1548" w:hanging="828"/>
      </w:pPr>
      <w:rPr>
        <w:rFonts w:hint="default"/>
      </w:r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num w:numId="1">
    <w:abstractNumId w:val="11"/>
  </w:num>
  <w:num w:numId="2">
    <w:abstractNumId w:val="15"/>
  </w:num>
  <w:num w:numId="3">
    <w:abstractNumId w:val="10"/>
  </w:num>
  <w:num w:numId="4">
    <w:abstractNumId w:val="0"/>
  </w:num>
  <w:num w:numId="5">
    <w:abstractNumId w:val="8"/>
  </w:num>
  <w:num w:numId="6">
    <w:abstractNumId w:val="3"/>
  </w:num>
  <w:num w:numId="7">
    <w:abstractNumId w:val="4"/>
  </w:num>
  <w:num w:numId="8">
    <w:abstractNumId w:val="6"/>
  </w:num>
  <w:num w:numId="9">
    <w:abstractNumId w:val="12"/>
  </w:num>
  <w:num w:numId="10">
    <w:abstractNumId w:val="1"/>
  </w:num>
  <w:num w:numId="11">
    <w:abstractNumId w:val="7"/>
  </w:num>
  <w:num w:numId="12">
    <w:abstractNumId w:val="13"/>
  </w:num>
  <w:num w:numId="13">
    <w:abstractNumId w:val="9"/>
  </w:num>
  <w:num w:numId="14">
    <w:abstractNumId w:val="2"/>
  </w:num>
  <w:num w:numId="15">
    <w:abstractNumId w:val="5"/>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E4AFF"/>
    <w:rsid w:val="00007494"/>
    <w:rsid w:val="00011676"/>
    <w:rsid w:val="000126AF"/>
    <w:rsid w:val="000518F9"/>
    <w:rsid w:val="00053098"/>
    <w:rsid w:val="000A00FF"/>
    <w:rsid w:val="000A525B"/>
    <w:rsid w:val="000E4AFF"/>
    <w:rsid w:val="000E6CE7"/>
    <w:rsid w:val="000F13AD"/>
    <w:rsid w:val="001055BF"/>
    <w:rsid w:val="001119EF"/>
    <w:rsid w:val="0011398B"/>
    <w:rsid w:val="00157E42"/>
    <w:rsid w:val="00184368"/>
    <w:rsid w:val="00193760"/>
    <w:rsid w:val="001A46E2"/>
    <w:rsid w:val="001E4BFA"/>
    <w:rsid w:val="0020490C"/>
    <w:rsid w:val="002057C9"/>
    <w:rsid w:val="0022191A"/>
    <w:rsid w:val="00265144"/>
    <w:rsid w:val="00276842"/>
    <w:rsid w:val="002847A4"/>
    <w:rsid w:val="0029343E"/>
    <w:rsid w:val="002A06B0"/>
    <w:rsid w:val="002C7B35"/>
    <w:rsid w:val="002D2C35"/>
    <w:rsid w:val="002E0FC4"/>
    <w:rsid w:val="00302592"/>
    <w:rsid w:val="003112DE"/>
    <w:rsid w:val="003113F3"/>
    <w:rsid w:val="00352D8A"/>
    <w:rsid w:val="00356DBF"/>
    <w:rsid w:val="003A3B02"/>
    <w:rsid w:val="003B001C"/>
    <w:rsid w:val="004207C6"/>
    <w:rsid w:val="00453AC3"/>
    <w:rsid w:val="004575AF"/>
    <w:rsid w:val="00493C22"/>
    <w:rsid w:val="004E51F8"/>
    <w:rsid w:val="00501244"/>
    <w:rsid w:val="00571415"/>
    <w:rsid w:val="005C50E5"/>
    <w:rsid w:val="005C66CC"/>
    <w:rsid w:val="00611CE2"/>
    <w:rsid w:val="00624F15"/>
    <w:rsid w:val="0064018B"/>
    <w:rsid w:val="0068543E"/>
    <w:rsid w:val="00692C77"/>
    <w:rsid w:val="006A56FE"/>
    <w:rsid w:val="006E2DDA"/>
    <w:rsid w:val="006E60E8"/>
    <w:rsid w:val="00722D48"/>
    <w:rsid w:val="0075528F"/>
    <w:rsid w:val="00755F23"/>
    <w:rsid w:val="00783450"/>
    <w:rsid w:val="00785581"/>
    <w:rsid w:val="00790F75"/>
    <w:rsid w:val="007D5E2F"/>
    <w:rsid w:val="007F273F"/>
    <w:rsid w:val="00825D77"/>
    <w:rsid w:val="00895D01"/>
    <w:rsid w:val="008A57F0"/>
    <w:rsid w:val="008B11A2"/>
    <w:rsid w:val="008B7C2F"/>
    <w:rsid w:val="00911C3D"/>
    <w:rsid w:val="009164C8"/>
    <w:rsid w:val="00933CB5"/>
    <w:rsid w:val="00972009"/>
    <w:rsid w:val="00975C9F"/>
    <w:rsid w:val="00976A57"/>
    <w:rsid w:val="00982320"/>
    <w:rsid w:val="00997FE8"/>
    <w:rsid w:val="009B60FB"/>
    <w:rsid w:val="009C5143"/>
    <w:rsid w:val="009D404D"/>
    <w:rsid w:val="009F60D4"/>
    <w:rsid w:val="00A1349F"/>
    <w:rsid w:val="00A621DC"/>
    <w:rsid w:val="00A71B1D"/>
    <w:rsid w:val="00AC70AC"/>
    <w:rsid w:val="00AD2622"/>
    <w:rsid w:val="00AE44A9"/>
    <w:rsid w:val="00AF06EF"/>
    <w:rsid w:val="00B0697A"/>
    <w:rsid w:val="00B517B6"/>
    <w:rsid w:val="00B86220"/>
    <w:rsid w:val="00BC0901"/>
    <w:rsid w:val="00BC159E"/>
    <w:rsid w:val="00BC4057"/>
    <w:rsid w:val="00BE134E"/>
    <w:rsid w:val="00C301BE"/>
    <w:rsid w:val="00C70CAB"/>
    <w:rsid w:val="00C87E36"/>
    <w:rsid w:val="00CB29CE"/>
    <w:rsid w:val="00CC10ED"/>
    <w:rsid w:val="00D0418E"/>
    <w:rsid w:val="00D15EF5"/>
    <w:rsid w:val="00D17EF9"/>
    <w:rsid w:val="00D6693F"/>
    <w:rsid w:val="00D811E9"/>
    <w:rsid w:val="00DC4355"/>
    <w:rsid w:val="00DF7A9B"/>
    <w:rsid w:val="00E06A06"/>
    <w:rsid w:val="00E544D7"/>
    <w:rsid w:val="00E739FD"/>
    <w:rsid w:val="00E771D7"/>
    <w:rsid w:val="00F20E72"/>
    <w:rsid w:val="00F416AA"/>
    <w:rsid w:val="00F43541"/>
    <w:rsid w:val="00F440E7"/>
    <w:rsid w:val="00F7693A"/>
    <w:rsid w:val="00F83D8D"/>
    <w:rsid w:val="00F84232"/>
    <w:rsid w:val="00F879EF"/>
    <w:rsid w:val="00FB77E0"/>
    <w:rsid w:val="00FE2CC0"/>
    <w:rsid w:val="74820899"/>
    <w:rsid w:val="7C30635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C2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semiHidden/>
    <w:unhideWhenUsed/>
    <w:rsid w:val="00493C22"/>
    <w:rPr>
      <w:b/>
      <w:bCs/>
    </w:rPr>
  </w:style>
  <w:style w:type="paragraph" w:styleId="a4">
    <w:name w:val="annotation text"/>
    <w:basedOn w:val="a"/>
    <w:link w:val="Char0"/>
    <w:uiPriority w:val="99"/>
    <w:semiHidden/>
    <w:unhideWhenUsed/>
    <w:rsid w:val="00493C22"/>
    <w:pPr>
      <w:jc w:val="left"/>
    </w:pPr>
  </w:style>
  <w:style w:type="paragraph" w:styleId="a5">
    <w:name w:val="Balloon Text"/>
    <w:basedOn w:val="a"/>
    <w:link w:val="Char1"/>
    <w:uiPriority w:val="99"/>
    <w:semiHidden/>
    <w:unhideWhenUsed/>
    <w:rsid w:val="00493C22"/>
    <w:rPr>
      <w:sz w:val="18"/>
      <w:szCs w:val="18"/>
    </w:rPr>
  </w:style>
  <w:style w:type="character" w:styleId="a6">
    <w:name w:val="annotation reference"/>
    <w:basedOn w:val="a0"/>
    <w:uiPriority w:val="99"/>
    <w:semiHidden/>
    <w:unhideWhenUsed/>
    <w:rsid w:val="00493C22"/>
    <w:rPr>
      <w:sz w:val="21"/>
      <w:szCs w:val="21"/>
    </w:rPr>
  </w:style>
  <w:style w:type="table" w:styleId="a7">
    <w:name w:val="Table Grid"/>
    <w:basedOn w:val="a1"/>
    <w:uiPriority w:val="39"/>
    <w:qFormat/>
    <w:rsid w:val="00493C22"/>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99"/>
    <w:qFormat/>
    <w:rsid w:val="00493C22"/>
    <w:pPr>
      <w:ind w:firstLineChars="200" w:firstLine="420"/>
    </w:pPr>
  </w:style>
  <w:style w:type="character" w:customStyle="1" w:styleId="Char0">
    <w:name w:val="批注文字 Char"/>
    <w:basedOn w:val="a0"/>
    <w:link w:val="a4"/>
    <w:uiPriority w:val="99"/>
    <w:semiHidden/>
    <w:rsid w:val="00493C22"/>
  </w:style>
  <w:style w:type="character" w:customStyle="1" w:styleId="Char">
    <w:name w:val="批注主题 Char"/>
    <w:basedOn w:val="Char0"/>
    <w:link w:val="a3"/>
    <w:uiPriority w:val="99"/>
    <w:semiHidden/>
    <w:rsid w:val="00493C22"/>
    <w:rPr>
      <w:b/>
      <w:bCs/>
    </w:rPr>
  </w:style>
  <w:style w:type="character" w:customStyle="1" w:styleId="Char1">
    <w:name w:val="批注框文本 Char"/>
    <w:basedOn w:val="a0"/>
    <w:link w:val="a5"/>
    <w:uiPriority w:val="99"/>
    <w:semiHidden/>
    <w:rsid w:val="00493C22"/>
    <w:rPr>
      <w:sz w:val="18"/>
      <w:szCs w:val="18"/>
    </w:rPr>
  </w:style>
  <w:style w:type="paragraph" w:styleId="a9">
    <w:name w:val="header"/>
    <w:basedOn w:val="a"/>
    <w:link w:val="Char2"/>
    <w:uiPriority w:val="99"/>
    <w:semiHidden/>
    <w:unhideWhenUsed/>
    <w:rsid w:val="001E4BFA"/>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9"/>
    <w:uiPriority w:val="99"/>
    <w:semiHidden/>
    <w:rsid w:val="001E4BFA"/>
    <w:rPr>
      <w:kern w:val="2"/>
      <w:sz w:val="18"/>
      <w:szCs w:val="18"/>
    </w:rPr>
  </w:style>
  <w:style w:type="paragraph" w:styleId="aa">
    <w:name w:val="footer"/>
    <w:basedOn w:val="a"/>
    <w:link w:val="Char3"/>
    <w:uiPriority w:val="99"/>
    <w:semiHidden/>
    <w:unhideWhenUsed/>
    <w:rsid w:val="001E4BFA"/>
    <w:pPr>
      <w:tabs>
        <w:tab w:val="center" w:pos="4153"/>
        <w:tab w:val="right" w:pos="8306"/>
      </w:tabs>
      <w:snapToGrid w:val="0"/>
      <w:jc w:val="left"/>
    </w:pPr>
    <w:rPr>
      <w:sz w:val="18"/>
      <w:szCs w:val="18"/>
    </w:rPr>
  </w:style>
  <w:style w:type="character" w:customStyle="1" w:styleId="Char3">
    <w:name w:val="页脚 Char"/>
    <w:basedOn w:val="a0"/>
    <w:link w:val="aa"/>
    <w:uiPriority w:val="99"/>
    <w:semiHidden/>
    <w:rsid w:val="001E4BFA"/>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680</Words>
  <Characters>3879</Characters>
  <Application>Microsoft Office Word</Application>
  <DocSecurity>0</DocSecurity>
  <Lines>32</Lines>
  <Paragraphs>9</Paragraphs>
  <ScaleCrop>false</ScaleCrop>
  <Company>Microsoft</Company>
  <LinksUpToDate>false</LinksUpToDate>
  <CharactersWithSpaces>4550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 chen</dc:creator>
  <cp:lastModifiedBy>hp</cp:lastModifiedBy>
  <cp:revision>91</cp:revision>
  <dcterms:created xsi:type="dcterms:W3CDTF">2018-04-01T14:04:00Z</dcterms:created>
  <dcterms:modified xsi:type="dcterms:W3CDTF">2018-06-01T10:34:00Z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